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B6" w:rsidRDefault="00CF25D7">
      <w:pPr>
        <w:pStyle w:val="Textbody"/>
        <w:spacing w:line="400" w:lineRule="exact"/>
        <w:ind w:firstLine="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5508720</wp:posOffset>
                </wp:positionH>
                <wp:positionV relativeFrom="paragraph">
                  <wp:posOffset>-564480</wp:posOffset>
                </wp:positionV>
                <wp:extent cx="627840" cy="329040"/>
                <wp:effectExtent l="0" t="0" r="19860" b="1386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3290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03B6" w:rsidRDefault="00CF25D7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75pt;margin-top:-44.45pt;width:49.4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" filled="f" strokeweight=".74pt">
                <v:textbox>
                  <w:txbxContent>
                    <w:p w:rsidR="008703B6" w:rsidRDefault="00CF25D7">
                      <w:pPr>
                        <w:pStyle w:val="Textbody"/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「藥品給付規定」修訂對照表</w:t>
      </w:r>
    </w:p>
    <w:p w:rsidR="008703B6" w:rsidRDefault="00CF25D7">
      <w:pPr>
        <w:pStyle w:val="Textbody"/>
        <w:spacing w:line="400" w:lineRule="exact"/>
        <w:ind w:firstLine="34"/>
        <w:jc w:val="center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第</w:t>
      </w:r>
      <w:r>
        <w:rPr>
          <w:rFonts w:ascii="Times New Roman" w:eastAsia="標楷體" w:hAnsi="Times New Roman"/>
          <w:bCs/>
          <w:sz w:val="28"/>
          <w:szCs w:val="28"/>
        </w:rPr>
        <w:t>9</w:t>
      </w:r>
      <w:r>
        <w:rPr>
          <w:rFonts w:ascii="Times New Roman" w:eastAsia="標楷體" w:hAnsi="Times New Roman"/>
          <w:bCs/>
          <w:sz w:val="28"/>
          <w:szCs w:val="28"/>
        </w:rPr>
        <w:t>節</w:t>
      </w:r>
      <w:r>
        <w:rPr>
          <w:rFonts w:ascii="Times New Roman" w:eastAsia="標楷體" w:hAnsi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/>
          <w:bCs/>
          <w:sz w:val="28"/>
          <w:szCs w:val="28"/>
        </w:rPr>
        <w:t>抗癌瘤藥物</w:t>
      </w:r>
      <w:r>
        <w:rPr>
          <w:rFonts w:ascii="Times New Roman" w:eastAsia="標楷體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/>
          <w:bCs/>
          <w:sz w:val="28"/>
          <w:szCs w:val="28"/>
        </w:rPr>
        <w:t>Antineoplastics</w:t>
      </w:r>
      <w:proofErr w:type="spellEnd"/>
      <w:r>
        <w:rPr>
          <w:rFonts w:ascii="Times New Roman" w:eastAsia="標楷體" w:hAnsi="Times New Roman"/>
          <w:bCs/>
          <w:sz w:val="28"/>
          <w:szCs w:val="28"/>
        </w:rPr>
        <w:t xml:space="preserve"> drugs</w:t>
      </w:r>
    </w:p>
    <w:p w:rsidR="008703B6" w:rsidRDefault="00CF25D7">
      <w:pPr>
        <w:pStyle w:val="Textbody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（自</w:t>
      </w:r>
      <w:r>
        <w:rPr>
          <w:rFonts w:ascii="Times New Roman" w:eastAsia="標楷體" w:hAnsi="Times New Roman"/>
          <w:sz w:val="28"/>
          <w:szCs w:val="28"/>
        </w:rPr>
        <w:t>108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日生效）</w:t>
      </w:r>
    </w:p>
    <w:p w:rsidR="008703B6" w:rsidRDefault="008703B6">
      <w:pPr>
        <w:pStyle w:val="Textbody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  <w:gridCol w:w="992"/>
      </w:tblGrid>
      <w:tr w:rsidR="008703B6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B6" w:rsidRDefault="00CF25D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修訂後給付規定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B6" w:rsidRDefault="00CF25D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原給付規定</w:t>
            </w:r>
          </w:p>
        </w:tc>
      </w:tr>
      <w:tr w:rsidR="008703B6">
        <w:trPr>
          <w:trHeight w:val="466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B6" w:rsidRDefault="00CF25D7">
            <w:pPr>
              <w:pStyle w:val="Textbody"/>
              <w:snapToGrid w:val="0"/>
              <w:spacing w:line="400" w:lineRule="exact"/>
              <w:ind w:left="242" w:hanging="242"/>
            </w:pP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9.69.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免疫檢查點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PD-1</w:t>
            </w:r>
            <w:r>
              <w:rPr>
                <w:rFonts w:ascii="新細明體" w:hAnsi="新細明體"/>
                <w:kern w:val="0"/>
                <w:szCs w:val="24"/>
                <w:u w:val="single"/>
              </w:rPr>
              <w:t>、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PD-L1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抑制劑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如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atezolizumab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；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nivolumab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；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pembrolizumab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製劑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(108/4/1)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：</w:t>
            </w:r>
          </w:p>
          <w:p w:rsidR="008703B6" w:rsidRDefault="00CF25D7">
            <w:pPr>
              <w:pStyle w:val="Textbody"/>
              <w:numPr>
                <w:ilvl w:val="0"/>
                <w:numId w:val="1"/>
              </w:numPr>
              <w:snapToGrid w:val="0"/>
              <w:spacing w:line="400" w:lineRule="exact"/>
              <w:ind w:left="242" w:hanging="2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本類藥品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得於藥品許可證登載之適應症及藥品仿單內，單獨使用於下列患者：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08" w:hanging="384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黑色素瘤：腫瘤無法切除或轉移之第三期或第四期黑色素瘤病人，先前曾接受過至少一次全身性治療失敗者。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08" w:hanging="384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非小細胞肺癌：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1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無法接受化學治療，且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EGFR/ALK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腫瘤基因為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原生型之轉移性非小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細胞肺癌成人患者。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倘有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藥物納入給付用於此適應症時，本款即同步限縮用於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腫瘤基因為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原生型者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snapToGrid w:val="0"/>
              <w:spacing w:line="400" w:lineRule="exact"/>
              <w:ind w:left="1418" w:hanging="28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備註：無法接受化學治療之定義為符合下列條件之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者：</w:t>
            </w:r>
          </w:p>
          <w:p w:rsidR="008703B6" w:rsidRDefault="00CF25D7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ind w:left="1418" w:hanging="2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CTCAE (the common terminology criteria for adverse events) v4.0 grade≧2 audiometric hearing loss</w:t>
            </w:r>
          </w:p>
          <w:p w:rsidR="008703B6" w:rsidRDefault="00CF25D7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ind w:left="1418" w:hanging="2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CTCAE v4.0 grade≧2 peripheral neuropathy</w:t>
            </w:r>
          </w:p>
          <w:p w:rsidR="008703B6" w:rsidRDefault="00CF25D7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ind w:left="1418" w:hanging="2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CIRS (the cumulative illness rating scale) score &gt;6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1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先前已使用過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platinum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類化學治療失敗後，又有疾病惡化之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晚期鱗狀非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小細胞肺癌成人患者。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倘有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anti-EGFR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藥物擴增給付用於此適應症時，本款即同步限縮用於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EGFR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腫瘤基因為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原生型者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1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先前已使用過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platinum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類及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docetaxel/paclitaxel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類二線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含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以上化學治療均失敗，又有疾病惡化，且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EGFR/ALK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腫瘤基因為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原生型之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晚期非小細胞肺腺癌成人患者。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倘有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藥物納入給付用於此適應症時，本款即同步限縮用於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腫瘤基因為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原生型者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典型何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杰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金氏淋巴瘤：先前已接受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自體造血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幹細胞移植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(HSCT)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與移植後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brentuximab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vedotin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(BV)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治療，但又復發或惡化的典型何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杰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金氏淋巴瘤成人患者。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泌尿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道上皮癌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：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5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無法接受化學治療之轉移性泌尿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道上皮癌成人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患者。</w:t>
            </w:r>
          </w:p>
          <w:p w:rsidR="008703B6" w:rsidRDefault="00CF25D7">
            <w:pPr>
              <w:pStyle w:val="Textbody"/>
              <w:snapToGrid w:val="0"/>
              <w:spacing w:line="400" w:lineRule="exact"/>
              <w:ind w:left="989" w:firstLine="1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備註：無法接受化學治療之定義為符合下列條件之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者：</w:t>
            </w:r>
          </w:p>
          <w:p w:rsidR="008703B6" w:rsidRDefault="00CF25D7">
            <w:pPr>
              <w:pStyle w:val="Textbody"/>
              <w:numPr>
                <w:ilvl w:val="0"/>
                <w:numId w:val="4"/>
              </w:numPr>
              <w:snapToGrid w:val="0"/>
              <w:spacing w:line="400" w:lineRule="exact"/>
              <w:ind w:left="1418" w:hanging="28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CTCAE (the common terminology criteria for adverse events) v4.0 grade≧2 audiometric hearing loss</w:t>
            </w:r>
          </w:p>
          <w:p w:rsidR="008703B6" w:rsidRDefault="00CF25D7">
            <w:pPr>
              <w:pStyle w:val="Textbody"/>
              <w:numPr>
                <w:ilvl w:val="0"/>
                <w:numId w:val="4"/>
              </w:numPr>
              <w:snapToGrid w:val="0"/>
              <w:spacing w:line="400" w:lineRule="exact"/>
              <w:ind w:left="1418" w:hanging="28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CTCAE v4.0 grade≧2 peripheral neuropathy</w:t>
            </w:r>
          </w:p>
          <w:p w:rsidR="008703B6" w:rsidRDefault="00CF25D7">
            <w:pPr>
              <w:pStyle w:val="Textbody"/>
              <w:numPr>
                <w:ilvl w:val="0"/>
                <w:numId w:val="4"/>
              </w:numPr>
              <w:snapToGrid w:val="0"/>
              <w:spacing w:line="400" w:lineRule="exact"/>
              <w:ind w:left="1418" w:hanging="28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lastRenderedPageBreak/>
              <w:t>CIRS (the cumulative illness rating scale) score &gt;6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先前已使用過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platinum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類化學治療失敗後疾病惡化的局部晚期無法切除或轉移性泌尿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道上皮癌成人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患者。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11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復發或轉移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性頭頸部鱗狀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細胞癌：先前已使用過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platinum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類化學治療失敗後，又有疾病惡化的復發或轉移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性頭頸部鱗狀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細胞癌成人患者。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本類藥品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與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cetuximab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僅能擇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使用，且治療失敗時不可互換。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11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轉移性胃癌：先前已使用過二線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含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以上化學治療均失敗，又有疾病惡化的轉移性胃腺癌成人患者。</w:t>
            </w:r>
          </w:p>
          <w:p w:rsidR="008703B6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11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晚期腎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細胞癌：先前已使用過至少二線標靶藥物治療均失敗，又有疾病惡化之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晚期腎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細胞癌，其病理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上為亮細胞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癌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(clear cell renal carcinoma)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之成人患者。</w:t>
            </w:r>
          </w:p>
          <w:p w:rsidR="008703B6" w:rsidRPr="001103FD" w:rsidRDefault="00CF25D7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ind w:left="711" w:hanging="425"/>
              <w:rPr>
                <w:rFonts w:ascii="Times New Roman" w:eastAsia="標楷體" w:hAnsi="Times New Roman"/>
                <w:kern w:val="0"/>
                <w:szCs w:val="24"/>
                <w:highlight w:val="yellow"/>
                <w:u w:val="single"/>
              </w:rPr>
            </w:pPr>
            <w:proofErr w:type="gramStart"/>
            <w:r w:rsidRPr="001103FD">
              <w:rPr>
                <w:rFonts w:ascii="Times New Roman" w:eastAsia="標楷體" w:hAnsi="Times New Roman"/>
                <w:kern w:val="0"/>
                <w:szCs w:val="24"/>
                <w:highlight w:val="yellow"/>
                <w:u w:val="single"/>
              </w:rPr>
              <w:t>晚期肝</w:t>
            </w:r>
            <w:proofErr w:type="gramEnd"/>
            <w:r w:rsidRPr="001103FD">
              <w:rPr>
                <w:rFonts w:ascii="Times New Roman" w:eastAsia="標楷體" w:hAnsi="Times New Roman"/>
                <w:kern w:val="0"/>
                <w:szCs w:val="24"/>
                <w:highlight w:val="yellow"/>
                <w:u w:val="single"/>
              </w:rPr>
              <w:t>細胞癌：需同時符合下列所有條件：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25"/>
            </w:pP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Child-Pugh A class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肝細胞癌成人患者。</w:t>
            </w:r>
            <w:bookmarkStart w:id="0" w:name="_GoBack"/>
            <w:bookmarkEnd w:id="0"/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25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先前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經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T.A.C.E.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於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12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個月內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&gt;=3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次局部治療失敗者。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已使用過至少一線標靶藥物治療失敗，又有疾病惡化者。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倘有二線標靶藥物擴增給付用於此適應症時，本款即同步限縮於與第二線標靶藥物擇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使用，且治療失敗時不可互換。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2"/>
                <w:numId w:val="2"/>
              </w:numPr>
              <w:snapToGrid w:val="0"/>
              <w:spacing w:line="400" w:lineRule="exact"/>
              <w:ind w:left="1133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未曾進行肝臟移植。</w:t>
            </w:r>
          </w:p>
          <w:p w:rsidR="008703B6" w:rsidRDefault="00CF25D7">
            <w:pPr>
              <w:pStyle w:val="Textbody"/>
              <w:numPr>
                <w:ilvl w:val="0"/>
                <w:numId w:val="5"/>
              </w:numPr>
              <w:snapToGrid w:val="0"/>
              <w:spacing w:line="400" w:lineRule="exact"/>
              <w:ind w:left="242" w:hanging="24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使用條件：</w:t>
            </w:r>
          </w:p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病人身體狀況良好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(ECOG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≦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</w:p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病人之心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肺與肝腎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功能須符合下列所有條件：</w:t>
            </w:r>
          </w:p>
          <w:p w:rsidR="008703B6" w:rsidRDefault="00CF25D7">
            <w:pPr>
              <w:pStyle w:val="Textbody"/>
              <w:numPr>
                <w:ilvl w:val="0"/>
                <w:numId w:val="7"/>
              </w:numPr>
              <w:snapToGrid w:val="0"/>
              <w:spacing w:line="400" w:lineRule="exact"/>
              <w:ind w:left="1133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NYHA (the New York Heart Association) Functional Class I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II</w:t>
            </w:r>
          </w:p>
          <w:p w:rsidR="008703B6" w:rsidRDefault="00CF25D7">
            <w:pPr>
              <w:pStyle w:val="Textbody"/>
              <w:numPr>
                <w:ilvl w:val="0"/>
                <w:numId w:val="7"/>
              </w:numPr>
              <w:snapToGrid w:val="0"/>
              <w:spacing w:line="400" w:lineRule="exact"/>
              <w:ind w:left="1132" w:hanging="42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GOT&lt;60U/L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GPT&lt;60U/L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，且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T-bilirubin&lt;1.5mg/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dL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晚期肝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細胞癌病人可免除此條件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0"/>
                <w:numId w:val="7"/>
              </w:numPr>
              <w:snapToGrid w:val="0"/>
              <w:spacing w:line="400" w:lineRule="exact"/>
              <w:ind w:left="1133" w:hanging="425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Creatinine&lt;1.5mg/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dL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且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eGFR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&gt;60mL/min/1.73m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  <w:vertAlign w:val="superscript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0"/>
                <w:u w:val="single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0"/>
                <w:u w:val="single"/>
              </w:rPr>
              <w:t>晚期腎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0"/>
                <w:u w:val="single"/>
              </w:rPr>
              <w:t>細胞癌病人可免除此條件</w:t>
            </w:r>
            <w:r>
              <w:rPr>
                <w:rFonts w:ascii="Times New Roman" w:eastAsia="標楷體" w:hAnsi="Times New Roman"/>
                <w:kern w:val="0"/>
                <w:szCs w:val="20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0"/>
                <w:numId w:val="8"/>
              </w:numPr>
              <w:snapToGrid w:val="0"/>
              <w:spacing w:after="180" w:line="400" w:lineRule="exact"/>
              <w:ind w:left="708" w:hanging="384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依個別藥品使用其對應之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class III IVD 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體外診斷醫療器材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所檢測之病人生物標記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(PD-L1)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表現量需符合下表：</w:t>
            </w:r>
          </w:p>
          <w:tbl>
            <w:tblPr>
              <w:tblW w:w="7938" w:type="dxa"/>
              <w:tblInd w:w="6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842"/>
            </w:tblGrid>
            <w:tr w:rsidR="008703B6">
              <w:trPr>
                <w:trHeight w:val="368"/>
              </w:trPr>
              <w:tc>
                <w:tcPr>
                  <w:tcW w:w="32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給付範圍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生物標記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(PD-L1)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表現量</w:t>
                  </w:r>
                </w:p>
              </w:tc>
            </w:tr>
            <w:tr w:rsidR="008703B6">
              <w:trPr>
                <w:trHeight w:val="360"/>
              </w:trPr>
              <w:tc>
                <w:tcPr>
                  <w:tcW w:w="326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F61BB6" w:rsidRDefault="00F61BB6">
                  <w:pPr>
                    <w:widowControl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標楷體" w:hAnsi="Times New Roman"/>
                      <w:szCs w:val="24"/>
                    </w:rPr>
                    <w:t>Dako</w:t>
                  </w:r>
                  <w:proofErr w:type="spellEnd"/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22C3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標楷體" w:hAnsi="Times New Roman"/>
                      <w:szCs w:val="24"/>
                    </w:rPr>
                    <w:t>Dako</w:t>
                  </w:r>
                  <w:proofErr w:type="spellEnd"/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28-8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標楷體" w:hAnsi="Times New Roman"/>
                      <w:szCs w:val="24"/>
                    </w:rPr>
                    <w:t>Ventana</w:t>
                  </w:r>
                  <w:proofErr w:type="spellEnd"/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SP142</w:t>
                  </w:r>
                </w:p>
              </w:tc>
            </w:tr>
            <w:tr w:rsidR="008703B6">
              <w:trPr>
                <w:trHeight w:val="352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非小細胞肺癌第一線用藥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TPS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N/A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N/A</w:t>
                  </w:r>
                </w:p>
              </w:tc>
            </w:tr>
            <w:tr w:rsidR="008703B6">
              <w:trPr>
                <w:trHeight w:val="344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非小細胞肺癌第二</w:t>
                  </w:r>
                  <w:r>
                    <w:rPr>
                      <w:rFonts w:ascii="新細明體" w:hAnsi="新細明體"/>
                      <w:kern w:val="0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三線用藥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TPS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TC</w:t>
                  </w:r>
                  <w:r>
                    <w:rPr>
                      <w:rFonts w:ascii="新細明體" w:hAnsi="新細明體" w:cs="新細明體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50%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TC</w:t>
                  </w:r>
                  <w:proofErr w:type="gramStart"/>
                  <w:r>
                    <w:rPr>
                      <w:rFonts w:ascii="新細明體" w:hAnsi="新細明體" w:cs="新細明體"/>
                      <w:szCs w:val="24"/>
                    </w:rPr>
                    <w:t>≧</w:t>
                  </w:r>
                  <w:proofErr w:type="gramEnd"/>
                  <w:r>
                    <w:rPr>
                      <w:rFonts w:ascii="Times New Roman" w:eastAsia="標楷體" w:hAnsi="Times New Roman"/>
                      <w:szCs w:val="24"/>
                    </w:rPr>
                    <w:t>50%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或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IC</w:t>
                  </w:r>
                  <w:proofErr w:type="gramStart"/>
                  <w:r>
                    <w:rPr>
                      <w:rFonts w:ascii="新細明體" w:hAnsi="新細明體" w:cs="新細明體"/>
                      <w:szCs w:val="24"/>
                    </w:rPr>
                    <w:t>≧</w:t>
                  </w:r>
                  <w:proofErr w:type="gramEnd"/>
                  <w:r>
                    <w:rPr>
                      <w:rFonts w:ascii="Times New Roman" w:eastAsia="標楷體" w:hAnsi="Times New Roman"/>
                      <w:szCs w:val="24"/>
                    </w:rPr>
                    <w:t>10%</w:t>
                  </w:r>
                </w:p>
              </w:tc>
            </w:tr>
            <w:tr w:rsidR="008703B6">
              <w:trPr>
                <w:trHeight w:val="192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泌尿</w:t>
                  </w:r>
                  <w:proofErr w:type="gramStart"/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道上皮癌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CPS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TC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5%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IC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5%</w:t>
                  </w:r>
                </w:p>
              </w:tc>
            </w:tr>
            <w:tr w:rsidR="008703B6">
              <w:trPr>
                <w:trHeight w:val="34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頭</w:t>
                  </w:r>
                  <w:proofErr w:type="gramStart"/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頸部鱗狀細胞</w:t>
                  </w:r>
                  <w:proofErr w:type="gramEnd"/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癌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TPS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TC</w:t>
                  </w:r>
                  <w:r>
                    <w:rPr>
                      <w:rFonts w:ascii="新細明體" w:hAnsi="新細明體" w:cs="新細明體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10%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</w:tcPr>
                <w:p w:rsidR="008703B6" w:rsidRDefault="00CF25D7">
                  <w:pPr>
                    <w:pStyle w:val="Textbody"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N/A</w:t>
                  </w:r>
                </w:p>
              </w:tc>
            </w:tr>
            <w:tr w:rsidR="008703B6">
              <w:trPr>
                <w:trHeight w:val="34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胃癌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CPS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>≧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N/A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:rsidR="008703B6" w:rsidRDefault="00CF25D7">
                  <w:pPr>
                    <w:pStyle w:val="Textbody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N/A</w:t>
                  </w:r>
                </w:p>
              </w:tc>
            </w:tr>
          </w:tbl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lastRenderedPageBreak/>
              <w:t>每位病人每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種癌別限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使用一種免疫檢查點抑制劑且不得互換，亦不可合併使用標靶藥物，無效後則不再給付該適應症相關之標靶藥物。</w:t>
            </w:r>
          </w:p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使用總療程以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52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為上限。</w:t>
            </w:r>
          </w:p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需經單筆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電子申請事前審查核准後使用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不適用緊急報備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，申報費用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時需上傳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病歷資料。</w:t>
            </w:r>
          </w:p>
          <w:p w:rsidR="008703B6" w:rsidRDefault="00CF25D7">
            <w:pPr>
              <w:pStyle w:val="Textbody"/>
              <w:numPr>
                <w:ilvl w:val="0"/>
                <w:numId w:val="6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初次申請以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12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為限，申請時需檢附以下資料：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0" w:hanging="393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理或細胞檢查報告</w:t>
            </w:r>
            <w:r>
              <w:rPr>
                <w:rFonts w:ascii="新細明體" w:hAnsi="新細明體"/>
                <w:kern w:val="0"/>
                <w:szCs w:val="24"/>
                <w:u w:val="single"/>
              </w:rPr>
              <w:t>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確實患有相關癌症之病理或細胞檢查報告，非小細胞肺腺癌患者需另檢附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EGFR/ALK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腫瘤基因檢測結果。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倘有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藥物納入給付時，須增加檢附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ROS-1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腫瘤基因檢測結果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0" w:hanging="393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生物標記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(PD-L1)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表現量檢測報告</w:t>
            </w:r>
            <w:r>
              <w:rPr>
                <w:rFonts w:ascii="新細明體" w:hAnsi="新細明體"/>
                <w:kern w:val="0"/>
                <w:szCs w:val="24"/>
                <w:u w:val="single"/>
              </w:rPr>
              <w:t>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符合使用條件之生物標記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(PD-L1)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表現量檢測結果，並由病理專科醫師簽發報告。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0" w:hanging="393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病人身體狀況良好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(ECOG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≦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及心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肺與肝腎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功能之評估資料。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0" w:hanging="39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符合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-RECIST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定義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(HCC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患者需符合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mRECIST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定義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之影像檢查及報告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如胸部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X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光、電腦斷層或其他可作為評估的影像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，此影像證明以可測量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measurable)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的病灶為優先，如沒有可以測量的病灶，則可評估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(evaluable)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的病灶亦可採用。</w:t>
            </w:r>
          </w:p>
          <w:p w:rsidR="008703B6" w:rsidRDefault="00CF25D7">
            <w:pPr>
              <w:pStyle w:val="Textbody"/>
              <w:snapToGrid w:val="0"/>
              <w:spacing w:line="400" w:lineRule="exact"/>
              <w:ind w:left="1272" w:hanging="281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備註：上述影像檢查之給付範圍不包括正子造影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(PET)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958" w:hanging="391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先前已接受過之治療與完整用藥資料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如化學治療、標靶藥物及自費等用藥之劑量及療程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及其治療結果；典型何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杰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金氏淋巴瘤患者需另檢附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自體造血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幹細胞移植之病歷紀錄；肝細胞癌患者需另檢附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T.A.C.E.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治療紀錄。</w:t>
            </w:r>
          </w:p>
          <w:p w:rsidR="008703B6" w:rsidRDefault="00CF25D7">
            <w:pPr>
              <w:pStyle w:val="Textbody"/>
              <w:numPr>
                <w:ilvl w:val="1"/>
                <w:numId w:val="9"/>
              </w:numPr>
              <w:snapToGrid w:val="0"/>
              <w:spacing w:line="400" w:lineRule="exact"/>
              <w:ind w:left="0" w:hanging="393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使用免疫檢查點抑制劑之治療計畫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(treatment protocol)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</w:p>
          <w:p w:rsidR="008703B6" w:rsidRDefault="00CF25D7">
            <w:pPr>
              <w:pStyle w:val="Textbody"/>
              <w:numPr>
                <w:ilvl w:val="0"/>
                <w:numId w:val="10"/>
              </w:numPr>
              <w:snapToGrid w:val="0"/>
              <w:spacing w:line="400" w:lineRule="exact"/>
              <w:ind w:left="706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用藥後每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12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評估一次，以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-RECIST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mRECIST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標準評定反應，依下列原則給付：</w:t>
            </w:r>
          </w:p>
          <w:p w:rsidR="008703B6" w:rsidRDefault="00CF25D7">
            <w:pPr>
              <w:pStyle w:val="Textbody"/>
              <w:numPr>
                <w:ilvl w:val="0"/>
                <w:numId w:val="11"/>
              </w:numPr>
              <w:snapToGrid w:val="0"/>
              <w:spacing w:line="400" w:lineRule="exact"/>
              <w:ind w:left="993" w:firstLine="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有療效反應者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CR)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得繼續使用；</w:t>
            </w:r>
          </w:p>
          <w:p w:rsidR="008703B6" w:rsidRDefault="00CF25D7">
            <w:pPr>
              <w:pStyle w:val="Textbody"/>
              <w:numPr>
                <w:ilvl w:val="0"/>
                <w:numId w:val="11"/>
              </w:numPr>
              <w:snapToGrid w:val="0"/>
              <w:spacing w:line="400" w:lineRule="exact"/>
              <w:ind w:left="993" w:firstLine="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出現疾病惡化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(PD)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或出現中、重度或危及生命之藥物不良反應時，應停止使用；</w:t>
            </w:r>
          </w:p>
          <w:p w:rsidR="008703B6" w:rsidRDefault="00CF25D7">
            <w:pPr>
              <w:pStyle w:val="Textbody"/>
              <w:numPr>
                <w:ilvl w:val="0"/>
                <w:numId w:val="11"/>
              </w:numPr>
              <w:snapToGrid w:val="0"/>
              <w:spacing w:line="400" w:lineRule="exact"/>
              <w:ind w:left="993" w:firstLine="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疾病呈穩定狀態者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(SD)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，可持續再用藥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4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，並於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4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後再次評估，經再次評估若為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、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者，得再繼續使用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12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，若仍為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SD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或已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PD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者，應停止使用。</w:t>
            </w:r>
          </w:p>
          <w:p w:rsidR="008703B6" w:rsidRDefault="00CF25D7">
            <w:pPr>
              <w:pStyle w:val="Textbody"/>
              <w:numPr>
                <w:ilvl w:val="0"/>
                <w:numId w:val="12"/>
              </w:numPr>
              <w:snapToGrid w:val="0"/>
              <w:spacing w:line="400" w:lineRule="exact"/>
              <w:ind w:left="708" w:hanging="425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申請續用時，需檢附以下資料：</w:t>
            </w:r>
          </w:p>
          <w:p w:rsidR="008703B6" w:rsidRDefault="00CF25D7">
            <w:pPr>
              <w:pStyle w:val="Textbody"/>
              <w:numPr>
                <w:ilvl w:val="2"/>
                <w:numId w:val="13"/>
              </w:numPr>
              <w:snapToGrid w:val="0"/>
              <w:spacing w:line="400" w:lineRule="exact"/>
              <w:ind w:left="988" w:hanging="422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病人身體狀況良好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(ECOG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≦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及心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肺與肝腎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功能之評估資料。</w:t>
            </w:r>
          </w:p>
          <w:p w:rsidR="008703B6" w:rsidRDefault="00CF25D7">
            <w:pPr>
              <w:pStyle w:val="Textbody"/>
              <w:numPr>
                <w:ilvl w:val="2"/>
                <w:numId w:val="13"/>
              </w:numPr>
              <w:snapToGrid w:val="0"/>
              <w:spacing w:line="400" w:lineRule="exact"/>
              <w:ind w:left="988" w:hanging="42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以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-RECIST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mRECIST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標準評定之藥物療效反應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、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CR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、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SD)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資料、影像檢查及報告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如胸部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X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光、電腦斷層或其他可作為評估的影像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，此影像證明以可測量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(measurable)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的病灶為優先，如沒有可以測量的病灶，則可評估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(evaluable)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的病灶亦可採用。</w:t>
            </w:r>
          </w:p>
          <w:p w:rsidR="008703B6" w:rsidRDefault="00CF25D7">
            <w:pPr>
              <w:pStyle w:val="Textbody"/>
              <w:snapToGrid w:val="0"/>
              <w:spacing w:line="400" w:lineRule="exact"/>
              <w:ind w:left="989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備註：上述影像檢查之給付範圍不包括正子造影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(PET)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。</w:t>
            </w:r>
          </w:p>
          <w:p w:rsidR="008703B6" w:rsidRDefault="00CF25D7">
            <w:pPr>
              <w:pStyle w:val="Textbody"/>
              <w:spacing w:line="400" w:lineRule="exact"/>
              <w:ind w:left="283" w:hanging="283"/>
            </w:pP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3. 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醫師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使用本類藥品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須配合登錄病患身體狀況、生物標記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(PD-L1)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檢測、病情發展、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lastRenderedPageBreak/>
              <w:t>藥品使用成效與嚴重副作用等資料；並須於療程結束或停止使用藥品後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個月內，於事前審查系統登錄結案，否則核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刪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最後一次事前審查申請之藥費。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3B6" w:rsidRDefault="00CF25D7">
            <w:pPr>
              <w:pStyle w:val="Textbody"/>
              <w:spacing w:line="400" w:lineRule="exact"/>
              <w:ind w:left="254" w:hanging="254"/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>(無)</w:t>
            </w:r>
          </w:p>
        </w:tc>
      </w:tr>
    </w:tbl>
    <w:p w:rsidR="008703B6" w:rsidRDefault="00CF25D7">
      <w:pPr>
        <w:pStyle w:val="Textbody"/>
        <w:widowControl/>
      </w:pPr>
      <w:r>
        <w:rPr>
          <w:rFonts w:ascii="標楷體" w:eastAsia="標楷體" w:hAnsi="標楷體"/>
          <w:sz w:val="28"/>
          <w:szCs w:val="24"/>
        </w:rPr>
        <w:lastRenderedPageBreak/>
        <w:t>備註：劃線部分為新修訂規定</w:t>
      </w:r>
    </w:p>
    <w:sectPr w:rsidR="008703B6">
      <w:footerReference w:type="default" r:id="rId7"/>
      <w:pgSz w:w="11906" w:h="16838"/>
      <w:pgMar w:top="851" w:right="1080" w:bottom="1440" w:left="1080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53" w:rsidRDefault="00F06153">
      <w:r>
        <w:separator/>
      </w:r>
    </w:p>
  </w:endnote>
  <w:endnote w:type="continuationSeparator" w:id="0">
    <w:p w:rsidR="00F06153" w:rsidRDefault="00F0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24" w:rsidRDefault="00CF25D7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103FD">
      <w:rPr>
        <w:noProof/>
        <w:lang w:val="zh-TW"/>
      </w:rPr>
      <w:t>4</w:t>
    </w:r>
    <w:r>
      <w:rPr>
        <w:lang w:val="zh-TW"/>
      </w:rPr>
      <w:fldChar w:fldCharType="end"/>
    </w:r>
  </w:p>
  <w:p w:rsidR="00324024" w:rsidRDefault="00F061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53" w:rsidRDefault="00F06153">
      <w:r>
        <w:rPr>
          <w:color w:val="000000"/>
        </w:rPr>
        <w:separator/>
      </w:r>
    </w:p>
  </w:footnote>
  <w:footnote w:type="continuationSeparator" w:id="0">
    <w:p w:rsidR="00F06153" w:rsidRDefault="00F0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575"/>
    <w:multiLevelType w:val="multilevel"/>
    <w:tmpl w:val="68A4DC72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D3091"/>
    <w:multiLevelType w:val="multilevel"/>
    <w:tmpl w:val="D51412E8"/>
    <w:lvl w:ilvl="0">
      <w:start w:val="1"/>
      <w:numFmt w:val="upperRoman"/>
      <w:lvlText w:val="%1."/>
      <w:lvlJc w:val="left"/>
      <w:pPr>
        <w:ind w:left="1800" w:hanging="360"/>
      </w:pPr>
      <w:rPr>
        <w:sz w:val="28"/>
      </w:rPr>
    </w:lvl>
    <w:lvl w:ilvl="1">
      <w:start w:val="1"/>
      <w:numFmt w:val="upperRoman"/>
      <w:lvlText w:val="%2."/>
      <w:lvlJc w:val="left"/>
      <w:pPr>
        <w:ind w:left="21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409607A0"/>
    <w:multiLevelType w:val="multilevel"/>
    <w:tmpl w:val="8764792C"/>
    <w:lvl w:ilvl="0">
      <w:start w:val="1"/>
      <w:numFmt w:val="decimal"/>
      <w:lvlText w:val="(%1)"/>
      <w:lvlJc w:val="left"/>
      <w:pPr>
        <w:ind w:left="1495" w:hanging="360"/>
      </w:pPr>
      <w:rPr>
        <w:sz w:val="28"/>
      </w:rPr>
    </w:lvl>
    <w:lvl w:ilvl="1">
      <w:start w:val="1"/>
      <w:numFmt w:val="upperRoman"/>
      <w:lvlText w:val="%2."/>
      <w:lvlJc w:val="left"/>
      <w:pPr>
        <w:ind w:left="1855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2BD1B0D"/>
    <w:multiLevelType w:val="multilevel"/>
    <w:tmpl w:val="DC041812"/>
    <w:lvl w:ilvl="0">
      <w:start w:val="1"/>
      <w:numFmt w:val="decimal"/>
      <w:lvlText w:val="(%1)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440" w:hanging="480"/>
      </w:pPr>
    </w:lvl>
    <w:lvl w:ilvl="3">
      <w:start w:val="1"/>
      <w:numFmt w:val="upperRoman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226541"/>
    <w:multiLevelType w:val="multilevel"/>
    <w:tmpl w:val="52F6130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(%2)"/>
      <w:lvlJc w:val="left"/>
      <w:pPr>
        <w:ind w:left="1200" w:hanging="480"/>
      </w:pPr>
      <w:rPr>
        <w:sz w:val="28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4F54AC6"/>
    <w:multiLevelType w:val="multilevel"/>
    <w:tmpl w:val="B02035E4"/>
    <w:lvl w:ilvl="0">
      <w:start w:val="1"/>
      <w:numFmt w:val="decimal"/>
      <w:lvlText w:val="(%1)"/>
      <w:lvlJc w:val="left"/>
      <w:pPr>
        <w:ind w:left="480" w:hanging="480"/>
      </w:pPr>
      <w:rPr>
        <w:sz w:val="24"/>
      </w:rPr>
    </w:lvl>
    <w:lvl w:ilvl="1">
      <w:start w:val="1"/>
      <w:numFmt w:val="upperRoman"/>
      <w:lvlText w:val="%2.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440" w:hanging="480"/>
      </w:pPr>
    </w:lvl>
    <w:lvl w:ilvl="3">
      <w:start w:val="1"/>
      <w:numFmt w:val="upperRoman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804A0F"/>
    <w:multiLevelType w:val="multilevel"/>
    <w:tmpl w:val="CBF28858"/>
    <w:lvl w:ilvl="0">
      <w:start w:val="1"/>
      <w:numFmt w:val="decimal"/>
      <w:lvlText w:val="%1."/>
      <w:lvlJc w:val="left"/>
      <w:pPr>
        <w:ind w:left="2707" w:hanging="480"/>
      </w:pPr>
    </w:lvl>
    <w:lvl w:ilvl="1">
      <w:start w:val="1"/>
      <w:numFmt w:val="decimal"/>
      <w:lvlText w:val="(%2)"/>
      <w:lvlJc w:val="left"/>
      <w:pPr>
        <w:ind w:left="3187" w:hanging="480"/>
      </w:pPr>
      <w:rPr>
        <w:sz w:val="28"/>
      </w:rPr>
    </w:lvl>
    <w:lvl w:ilvl="2">
      <w:start w:val="1"/>
      <w:numFmt w:val="lowerRoman"/>
      <w:lvlText w:val="%3."/>
      <w:lvlJc w:val="right"/>
      <w:pPr>
        <w:ind w:left="3667" w:hanging="480"/>
      </w:pPr>
    </w:lvl>
    <w:lvl w:ilvl="3">
      <w:start w:val="1"/>
      <w:numFmt w:val="decimal"/>
      <w:lvlText w:val="%4."/>
      <w:lvlJc w:val="left"/>
      <w:pPr>
        <w:ind w:left="4147" w:hanging="480"/>
      </w:pPr>
    </w:lvl>
    <w:lvl w:ilvl="4">
      <w:start w:val="1"/>
      <w:numFmt w:val="ideographTraditional"/>
      <w:lvlText w:val="%5、"/>
      <w:lvlJc w:val="left"/>
      <w:pPr>
        <w:ind w:left="4627" w:hanging="480"/>
      </w:pPr>
    </w:lvl>
    <w:lvl w:ilvl="5">
      <w:start w:val="1"/>
      <w:numFmt w:val="lowerRoman"/>
      <w:lvlText w:val="%6."/>
      <w:lvlJc w:val="right"/>
      <w:pPr>
        <w:ind w:left="5107" w:hanging="480"/>
      </w:pPr>
    </w:lvl>
    <w:lvl w:ilvl="6">
      <w:start w:val="1"/>
      <w:numFmt w:val="decimal"/>
      <w:lvlText w:val="%7."/>
      <w:lvlJc w:val="left"/>
      <w:pPr>
        <w:ind w:left="5587" w:hanging="480"/>
      </w:pPr>
    </w:lvl>
    <w:lvl w:ilvl="7">
      <w:start w:val="1"/>
      <w:numFmt w:val="ideographTraditional"/>
      <w:lvlText w:val="%8、"/>
      <w:lvlJc w:val="left"/>
      <w:pPr>
        <w:ind w:left="6067" w:hanging="480"/>
      </w:pPr>
    </w:lvl>
    <w:lvl w:ilvl="8">
      <w:start w:val="1"/>
      <w:numFmt w:val="lowerRoman"/>
      <w:lvlText w:val="%9."/>
      <w:lvlJc w:val="right"/>
      <w:pPr>
        <w:ind w:left="6547" w:hanging="480"/>
      </w:pPr>
    </w:lvl>
  </w:abstractNum>
  <w:abstractNum w:abstractNumId="7" w15:restartNumberingAfterBreak="0">
    <w:nsid w:val="76AC7ECE"/>
    <w:multiLevelType w:val="multilevel"/>
    <w:tmpl w:val="F854676A"/>
    <w:lvl w:ilvl="0">
      <w:start w:val="1"/>
      <w:numFmt w:val="decimal"/>
      <w:lvlText w:val="(%1)"/>
      <w:lvlJc w:val="left"/>
      <w:pPr>
        <w:ind w:left="667" w:hanging="36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027" w:hanging="480"/>
      </w:pPr>
    </w:lvl>
    <w:lvl w:ilvl="2">
      <w:start w:val="1"/>
      <w:numFmt w:val="upperRoman"/>
      <w:lvlText w:val="%3."/>
      <w:lvlJc w:val="left"/>
      <w:pPr>
        <w:ind w:left="1507" w:hanging="480"/>
      </w:pPr>
      <w:rPr>
        <w:sz w:val="28"/>
      </w:rPr>
    </w:lvl>
    <w:lvl w:ilvl="3">
      <w:start w:val="1"/>
      <w:numFmt w:val="decimal"/>
      <w:lvlText w:val="(%4)"/>
      <w:lvlJc w:val="left"/>
      <w:pPr>
        <w:ind w:left="1987" w:hanging="480"/>
      </w:pPr>
      <w:rPr>
        <w:sz w:val="28"/>
      </w:rPr>
    </w:lvl>
    <w:lvl w:ilvl="4">
      <w:start w:val="1"/>
      <w:numFmt w:val="ideographTraditional"/>
      <w:lvlText w:val="%5、"/>
      <w:lvlJc w:val="left"/>
      <w:pPr>
        <w:ind w:left="2467" w:hanging="480"/>
      </w:pPr>
    </w:lvl>
    <w:lvl w:ilvl="5">
      <w:start w:val="1"/>
      <w:numFmt w:val="lowerRoman"/>
      <w:lvlText w:val="%6."/>
      <w:lvlJc w:val="right"/>
      <w:pPr>
        <w:ind w:left="2947" w:hanging="480"/>
      </w:pPr>
    </w:lvl>
    <w:lvl w:ilvl="6">
      <w:start w:val="1"/>
      <w:numFmt w:val="decimal"/>
      <w:lvlText w:val="%7."/>
      <w:lvlJc w:val="left"/>
      <w:pPr>
        <w:ind w:left="3427" w:hanging="480"/>
      </w:pPr>
    </w:lvl>
    <w:lvl w:ilvl="7">
      <w:start w:val="1"/>
      <w:numFmt w:val="ideographTraditional"/>
      <w:lvlText w:val="%8、"/>
      <w:lvlJc w:val="left"/>
      <w:pPr>
        <w:ind w:left="3907" w:hanging="480"/>
      </w:pPr>
    </w:lvl>
    <w:lvl w:ilvl="8">
      <w:start w:val="1"/>
      <w:numFmt w:val="lowerRoman"/>
      <w:lvlText w:val="%9."/>
      <w:lvlJc w:val="right"/>
      <w:pPr>
        <w:ind w:left="4387" w:hanging="480"/>
      </w:pPr>
    </w:lvl>
  </w:abstractNum>
  <w:abstractNum w:abstractNumId="8" w15:restartNumberingAfterBreak="0">
    <w:nsid w:val="78952E5A"/>
    <w:multiLevelType w:val="multilevel"/>
    <w:tmpl w:val="E2E85F38"/>
    <w:lvl w:ilvl="0">
      <w:start w:val="1"/>
      <w:numFmt w:val="upperRoman"/>
      <w:lvlText w:val="%1."/>
      <w:lvlJc w:val="left"/>
      <w:pPr>
        <w:ind w:left="1495" w:hanging="360"/>
      </w:pPr>
      <w:rPr>
        <w:sz w:val="24"/>
      </w:rPr>
    </w:lvl>
    <w:lvl w:ilvl="1">
      <w:start w:val="1"/>
      <w:numFmt w:val="upperRoman"/>
      <w:lvlText w:val="%2."/>
      <w:lvlJc w:val="left"/>
      <w:pPr>
        <w:ind w:left="1855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B6"/>
    <w:rsid w:val="001103FD"/>
    <w:rsid w:val="00342937"/>
    <w:rsid w:val="008703B6"/>
    <w:rsid w:val="00CC57D2"/>
    <w:rsid w:val="00CF25D7"/>
    <w:rsid w:val="00F06153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BB1E5-F293-4545-9991-17A102C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Textbody"/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何小鳳</dc:creator>
  <cp:lastModifiedBy>user</cp:lastModifiedBy>
  <cp:revision>3</cp:revision>
  <cp:lastPrinted>2019-03-18T01:20:00Z</cp:lastPrinted>
  <dcterms:created xsi:type="dcterms:W3CDTF">2019-03-18T05:44:00Z</dcterms:created>
  <dcterms:modified xsi:type="dcterms:W3CDTF">2019-03-18T05:47:00Z</dcterms:modified>
</cp:coreProperties>
</file>